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6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附件1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sz w:val="30"/>
          <w:szCs w:val="30"/>
        </w:rPr>
        <w:t xml:space="preserve">工程类型 </w:t>
      </w:r>
    </w:p>
    <w:p>
      <w:pPr>
        <w:ind w:firstLine="600"/>
        <w:rPr>
          <w:rFonts w:hint="eastAsia" w:ascii="仿宋" w:hAnsi="仿宋" w:eastAsia="仿宋" w:cs="仿宋"/>
          <w:sz w:val="30"/>
          <w:szCs w:val="30"/>
        </w:rPr>
      </w:pPr>
    </w:p>
    <w:p>
      <w:pPr>
        <w:numPr>
          <w:ilvl w:val="0"/>
          <w:numId w:val="1"/>
        </w:numPr>
        <w:ind w:left="600" w:leftChars="0" w:firstLine="0" w:firstLineChars="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居住建筑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(</w:t>
      </w:r>
      <w:r>
        <w:rPr>
          <w:rFonts w:hint="eastAsia" w:ascii="仿宋" w:hAnsi="仿宋" w:eastAsia="仿宋" w:cs="仿宋"/>
          <w:sz w:val="30"/>
          <w:szCs w:val="30"/>
        </w:rPr>
        <w:t>多层（3-7）、小高层（8-18）高层（19-33）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)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　　住宅、宿舍公寓、安置保障房、商住楼 </w:t>
      </w:r>
    </w:p>
    <w:p>
      <w:pPr>
        <w:numPr>
          <w:ilvl w:val="0"/>
          <w:numId w:val="1"/>
        </w:numPr>
        <w:ind w:left="600" w:leftChars="0" w:firstLine="0" w:firstLineChars="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办公建筑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(</w:t>
      </w:r>
      <w:r>
        <w:rPr>
          <w:rFonts w:hint="eastAsia" w:ascii="仿宋" w:hAnsi="仿宋" w:eastAsia="仿宋" w:cs="仿宋"/>
          <w:sz w:val="30"/>
          <w:szCs w:val="30"/>
        </w:rPr>
        <w:t>多层、小高层、高层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)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　　行政办公楼、科研楼、档案楼、行业办公楼、综合性办公楼 </w:t>
      </w:r>
    </w:p>
    <w:p>
      <w:pPr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　　三、商业建筑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(</w:t>
      </w:r>
      <w:r>
        <w:rPr>
          <w:rFonts w:hint="eastAsia" w:ascii="仿宋" w:hAnsi="仿宋" w:eastAsia="仿宋" w:cs="仿宋"/>
          <w:sz w:val="30"/>
          <w:szCs w:val="30"/>
        </w:rPr>
        <w:t xml:space="preserve">地下层、多层、小高层、高层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)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　　商场超市、商业综合体、商业写字楼、立体停车库 </w:t>
      </w:r>
    </w:p>
    <w:p>
      <w:pPr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　　四、工业建筑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(</w:t>
      </w:r>
      <w:r>
        <w:rPr>
          <w:rFonts w:hint="eastAsia" w:ascii="仿宋" w:hAnsi="仿宋" w:eastAsia="仿宋" w:cs="仿宋"/>
          <w:sz w:val="30"/>
          <w:szCs w:val="30"/>
        </w:rPr>
        <w:t>单层、多层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)</w:t>
      </w:r>
      <w:r>
        <w:rPr>
          <w:rFonts w:hint="eastAsia" w:ascii="仿宋" w:hAnsi="仿宋" w:eastAsia="仿宋" w:cs="仿宋"/>
          <w:sz w:val="30"/>
          <w:szCs w:val="30"/>
        </w:rPr>
        <w:t xml:space="preserve"> 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　　厂房、仓库、粮库、冷库 　　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　　五、文化建筑 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　　图书馆、博物馆、影剧院、会展中心、艺术中心 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　　六、体育建筑 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　　体育馆、体育场、游泳馆 </w:t>
      </w:r>
    </w:p>
    <w:p>
      <w:pPr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　　七、教育建筑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(</w:t>
      </w:r>
      <w:r>
        <w:rPr>
          <w:rFonts w:hint="eastAsia" w:ascii="仿宋" w:hAnsi="仿宋" w:eastAsia="仿宋" w:cs="仿宋"/>
          <w:sz w:val="30"/>
          <w:szCs w:val="30"/>
        </w:rPr>
        <w:t xml:space="preserve">幼儿园、小学、中学、大学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)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　　教学楼、 食堂、科研实验楼、综合楼、礼堂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　　八、医疗卫生建筑 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　　门诊楼、病房楼、医技楼、综合楼、社区卫生服务中心、殡仪馆 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　　九、交通建筑 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　　客运站、侯车楼、交通枢纽站 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　　十、古建筑 </w:t>
      </w:r>
    </w:p>
    <w:p>
      <w:pPr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 xml:space="preserve">　　仿古砼建筑、民居建筑、宫殿建筑、楼阁建筑、牌坊 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　　十一、土工地基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　　 边坡挡土墙、基坑支护、桩基础 </w:t>
      </w:r>
    </w:p>
    <w:p>
      <w:pPr>
        <w:numPr>
          <w:ilvl w:val="0"/>
          <w:numId w:val="2"/>
        </w:numPr>
        <w:ind w:firstLine="600" w:firstLineChars="200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单独发包的建筑装饰装修工程</w:t>
      </w:r>
    </w:p>
    <w:p>
      <w:pPr>
        <w:numPr>
          <w:ilvl w:val="0"/>
          <w:numId w:val="0"/>
        </w:numPr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外立面单独装修、室内单独装修装饰</w:t>
      </w:r>
    </w:p>
    <w:p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十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三</w:t>
      </w:r>
      <w:r>
        <w:rPr>
          <w:rFonts w:hint="eastAsia" w:ascii="仿宋" w:hAnsi="仿宋" w:eastAsia="仿宋" w:cs="仿宋"/>
          <w:sz w:val="30"/>
          <w:szCs w:val="30"/>
        </w:rPr>
        <w:t xml:space="preserve">、市政设施工程 </w:t>
      </w:r>
    </w:p>
    <w:p>
      <w:pPr>
        <w:ind w:firstLine="600" w:firstLineChars="200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公共厕所、垃圾转运站、垃圾处理厂、污水处理厂、自来水厂、变电站、泵站、人防应急避难所 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、热电厂</w:t>
      </w:r>
    </w:p>
    <w:p>
      <w:pPr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　　十四、市政道路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(</w:t>
      </w:r>
      <w:r>
        <w:rPr>
          <w:rFonts w:hint="eastAsia" w:ascii="仿宋" w:hAnsi="仿宋" w:eastAsia="仿宋" w:cs="仿宋"/>
          <w:sz w:val="30"/>
          <w:szCs w:val="30"/>
        </w:rPr>
        <w:t>双车道  四车道  六车道及以上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)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　　城市快速路、城市主干路、次干路支路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　　十五、市政桥梁通道 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　　 跨江海桥、高架桥、立交桥、人行天桥、隧道、人行地下通道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　　十六、市政管线 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　　雨污水管网、给水管网、燃气管道、路灯照明、综合管廊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　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十七、</w:t>
      </w:r>
      <w:r>
        <w:rPr>
          <w:rFonts w:hint="eastAsia" w:ascii="仿宋" w:hAnsi="仿宋" w:eastAsia="仿宋" w:cs="仿宋"/>
          <w:sz w:val="30"/>
          <w:szCs w:val="30"/>
        </w:rPr>
        <w:t xml:space="preserve">室外/公共工程 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　　城市公园、郊野公园、主题公园、口袋公园、小区景观绿化、儿童游乐场、运动场地、停车场、广场、道路绿化带、防护林、坡地绿化、立面绿化、夜景工程 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AE92745"/>
    <w:multiLevelType w:val="singleLevel"/>
    <w:tmpl w:val="BAE92745"/>
    <w:lvl w:ilvl="0" w:tentative="0">
      <w:start w:val="1"/>
      <w:numFmt w:val="chineseCounting"/>
      <w:suff w:val="nothing"/>
      <w:lvlText w:val="%1、"/>
      <w:lvlJc w:val="left"/>
      <w:pPr>
        <w:ind w:left="600" w:leftChars="0" w:firstLine="0" w:firstLineChars="0"/>
      </w:pPr>
      <w:rPr>
        <w:rFonts w:hint="eastAsia"/>
      </w:rPr>
    </w:lvl>
  </w:abstractNum>
  <w:abstractNum w:abstractNumId="1">
    <w:nsid w:val="20D692B1"/>
    <w:multiLevelType w:val="singleLevel"/>
    <w:tmpl w:val="20D692B1"/>
    <w:lvl w:ilvl="0" w:tentative="0">
      <w:start w:val="1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cxYjRjM2VkNDFjM2QxNzI2NGJhYzEwYTczMjdiMmEifQ=="/>
  </w:docVars>
  <w:rsids>
    <w:rsidRoot w:val="1B7F4AC0"/>
    <w:rsid w:val="1B7F4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2024-03-14T07:25:00Z</dcterms:created>
  <dc:creator>ヾ`Destinyぞ--</dc:creator>
  <cp:lastModifiedBy>ヾ`Destinyぞ--</cp:lastModifiedBy>
  <dcterms:modified xsi:type="dcterms:W3CDTF">2024-03-14T07:25:35Z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EFC41F14975F4A6293CA1B2DFCC7C724_11</vt:lpwstr>
  </property>
</Properties>
</file>